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14"/>
        <w:gridCol w:w="4715"/>
      </w:tblGrid>
      <w:tr w:rsidR="000414DB" w:rsidRPr="00EF680E" w:rsidTr="00EF680E">
        <w:trPr>
          <w:jc w:val="center"/>
        </w:trPr>
        <w:tc>
          <w:tcPr>
            <w:tcW w:w="4714" w:type="dxa"/>
            <w:shd w:val="clear" w:color="auto" w:fill="DBE5F1"/>
          </w:tcPr>
          <w:p w:rsidR="000414DB" w:rsidRPr="00EF680E" w:rsidRDefault="000414DB" w:rsidP="00EF680E">
            <w:pPr>
              <w:spacing w:after="0" w:line="240" w:lineRule="auto"/>
              <w:jc w:val="center"/>
              <w:rPr>
                <w:b/>
                <w:sz w:val="20"/>
                <w:szCs w:val="20"/>
              </w:rPr>
            </w:pPr>
            <w:r w:rsidRPr="00EF680E">
              <w:rPr>
                <w:b/>
                <w:sz w:val="20"/>
                <w:szCs w:val="20"/>
              </w:rPr>
              <w:t>Thèmes</w:t>
            </w:r>
          </w:p>
        </w:tc>
        <w:tc>
          <w:tcPr>
            <w:tcW w:w="4715" w:type="dxa"/>
            <w:shd w:val="clear" w:color="auto" w:fill="FFFFFF"/>
          </w:tcPr>
          <w:p w:rsidR="000414DB" w:rsidRPr="00EF680E" w:rsidRDefault="000414DB" w:rsidP="00EF680E">
            <w:pPr>
              <w:spacing w:after="0" w:line="240" w:lineRule="auto"/>
              <w:jc w:val="center"/>
              <w:rPr>
                <w:b/>
                <w:sz w:val="20"/>
                <w:szCs w:val="20"/>
              </w:rPr>
            </w:pPr>
            <w:r w:rsidRPr="00EF680E">
              <w:rPr>
                <w:b/>
                <w:sz w:val="20"/>
                <w:szCs w:val="20"/>
              </w:rPr>
              <w:t>Définitions</w:t>
            </w:r>
          </w:p>
        </w:tc>
      </w:tr>
      <w:tr w:rsidR="000414DB" w:rsidRPr="00065FF4" w:rsidTr="00EF680E">
        <w:trPr>
          <w:jc w:val="center"/>
        </w:trPr>
        <w:tc>
          <w:tcPr>
            <w:tcW w:w="4714" w:type="dxa"/>
            <w:shd w:val="clear" w:color="auto" w:fill="DBE5F1"/>
          </w:tcPr>
          <w:p w:rsidR="000414DB" w:rsidRPr="00065FF4" w:rsidRDefault="000414DB" w:rsidP="00EF680E">
            <w:pPr>
              <w:pStyle w:val="Standard"/>
              <w:jc w:val="both"/>
              <w:rPr>
                <w:rFonts w:ascii="Comic Sans MS" w:hAnsi="Comic Sans MS" w:cs="Comic Sans MS"/>
                <w:b/>
                <w:bCs/>
                <w:color w:val="auto"/>
                <w:sz w:val="16"/>
                <w:szCs w:val="16"/>
                <w:u w:val="single"/>
                <w:lang w:val="fr-FR"/>
              </w:rPr>
            </w:pPr>
          </w:p>
          <w:p w:rsidR="000414DB" w:rsidRPr="00065FF4" w:rsidRDefault="000414DB" w:rsidP="00EF680E">
            <w:pPr>
              <w:pStyle w:val="Standard"/>
              <w:jc w:val="both"/>
              <w:rPr>
                <w:rFonts w:ascii="Comic Sans MS" w:hAnsi="Comic Sans MS" w:cs="Comic Sans MS"/>
                <w:b/>
                <w:bCs/>
                <w:color w:val="auto"/>
                <w:sz w:val="16"/>
                <w:szCs w:val="16"/>
                <w:u w:val="single"/>
                <w:lang w:val="fr-FR"/>
              </w:rPr>
            </w:pPr>
          </w:p>
          <w:p w:rsidR="000414DB" w:rsidRPr="00065FF4" w:rsidRDefault="000414DB" w:rsidP="00EF680E">
            <w:pPr>
              <w:pStyle w:val="Standard"/>
              <w:jc w:val="both"/>
              <w:rPr>
                <w:rFonts w:ascii="Comic Sans MS" w:hAnsi="Comic Sans MS" w:cs="Comic Sans MS"/>
                <w:b/>
                <w:bCs/>
                <w:color w:val="auto"/>
                <w:sz w:val="16"/>
                <w:szCs w:val="16"/>
                <w:u w:val="single"/>
                <w:lang w:val="fr-FR"/>
              </w:rPr>
            </w:pPr>
          </w:p>
          <w:p w:rsidR="000414DB" w:rsidRPr="00065FF4" w:rsidRDefault="000414DB" w:rsidP="00EF680E">
            <w:pPr>
              <w:pStyle w:val="Standard"/>
              <w:jc w:val="both"/>
              <w:rPr>
                <w:rFonts w:ascii="Comic Sans MS" w:hAnsi="Comic Sans MS" w:cs="Comic Sans MS"/>
                <w:b/>
                <w:bCs/>
                <w:color w:val="auto"/>
                <w:sz w:val="16"/>
                <w:szCs w:val="16"/>
                <w:u w:val="single"/>
                <w:lang w:val="fr-FR"/>
              </w:rPr>
            </w:pPr>
          </w:p>
          <w:p w:rsidR="000414DB" w:rsidRPr="00065FF4" w:rsidRDefault="000414DB" w:rsidP="00EF680E">
            <w:pPr>
              <w:pStyle w:val="Standard"/>
              <w:jc w:val="both"/>
              <w:rPr>
                <w:rFonts w:ascii="Comic Sans MS" w:hAnsi="Comic Sans MS" w:cs="Comic Sans MS"/>
                <w:b/>
                <w:bCs/>
                <w:color w:val="auto"/>
                <w:sz w:val="16"/>
                <w:szCs w:val="16"/>
                <w:u w:val="single"/>
                <w:lang w:val="fr-FR"/>
              </w:rPr>
            </w:pPr>
          </w:p>
          <w:p w:rsidR="000414DB" w:rsidRPr="00065FF4" w:rsidRDefault="000414DB" w:rsidP="00EF680E">
            <w:pPr>
              <w:pStyle w:val="Standard"/>
              <w:jc w:val="both"/>
              <w:rPr>
                <w:rFonts w:ascii="Comic Sans MS" w:hAnsi="Comic Sans MS" w:cs="Comic Sans MS"/>
                <w:b/>
                <w:bCs/>
                <w:color w:val="auto"/>
                <w:sz w:val="16"/>
                <w:szCs w:val="16"/>
                <w:u w:val="single"/>
                <w:lang w:val="fr-FR"/>
              </w:rPr>
            </w:pPr>
          </w:p>
          <w:p w:rsidR="000414DB" w:rsidRPr="00065FF4" w:rsidRDefault="000414DB" w:rsidP="00EF680E">
            <w:pPr>
              <w:pStyle w:val="Standard"/>
              <w:jc w:val="both"/>
              <w:rPr>
                <w:rFonts w:ascii="Comic Sans MS" w:hAnsi="Comic Sans MS" w:cs="Comic Sans MS"/>
                <w:b/>
                <w:bCs/>
                <w:color w:val="auto"/>
                <w:sz w:val="16"/>
                <w:szCs w:val="16"/>
                <w:u w:val="single"/>
                <w:lang w:val="fr-FR"/>
              </w:rPr>
            </w:pPr>
            <w:r w:rsidRPr="00065FF4">
              <w:rPr>
                <w:rFonts w:ascii="Comic Sans MS" w:hAnsi="Comic Sans MS" w:cs="Comic Sans MS"/>
                <w:b/>
                <w:bCs/>
                <w:color w:val="auto"/>
                <w:sz w:val="16"/>
                <w:szCs w:val="16"/>
                <w:u w:val="single"/>
                <w:lang w:val="fr-FR"/>
              </w:rPr>
              <w:t>Historique de la notion de « Conseiller Technique »</w:t>
            </w:r>
          </w:p>
          <w:p w:rsidR="000414DB" w:rsidRPr="00065FF4" w:rsidRDefault="000414DB" w:rsidP="00EF680E">
            <w:pPr>
              <w:spacing w:after="0" w:line="240" w:lineRule="auto"/>
              <w:rPr>
                <w:sz w:val="16"/>
                <w:szCs w:val="16"/>
              </w:rPr>
            </w:pPr>
          </w:p>
        </w:tc>
        <w:tc>
          <w:tcPr>
            <w:tcW w:w="4715" w:type="dxa"/>
            <w:shd w:val="clear" w:color="auto" w:fill="FFFFFF"/>
          </w:tcPr>
          <w:p w:rsidR="000414DB" w:rsidRPr="00065FF4" w:rsidRDefault="000414DB" w:rsidP="00065FF4">
            <w:pPr>
              <w:pStyle w:val="Standard"/>
              <w:jc w:val="both"/>
              <w:rPr>
                <w:sz w:val="16"/>
                <w:szCs w:val="16"/>
                <w:lang w:val="fr-FR"/>
              </w:rPr>
            </w:pPr>
            <w:r w:rsidRPr="00065FF4">
              <w:rPr>
                <w:rFonts w:ascii="Comic Sans MS" w:hAnsi="Comic Sans MS" w:cs="Comic Sans MS"/>
                <w:color w:val="auto"/>
                <w:sz w:val="16"/>
                <w:szCs w:val="16"/>
                <w:lang w:val="fr-FR"/>
              </w:rPr>
              <w:t xml:space="preserve">Cette notion de </w:t>
            </w:r>
            <w:r w:rsidRPr="00065FF4">
              <w:rPr>
                <w:rFonts w:ascii="Comic Sans MS" w:hAnsi="Comic Sans MS" w:cs="Comic Sans MS"/>
                <w:b/>
                <w:color w:val="auto"/>
                <w:sz w:val="16"/>
                <w:szCs w:val="16"/>
                <w:lang w:val="fr-FR"/>
              </w:rPr>
              <w:t>conseiller technique</w:t>
            </w:r>
            <w:r w:rsidRPr="00065FF4">
              <w:rPr>
                <w:rFonts w:ascii="Comic Sans MS" w:hAnsi="Comic Sans MS" w:cs="Comic Sans MS"/>
                <w:color w:val="auto"/>
                <w:sz w:val="16"/>
                <w:szCs w:val="16"/>
                <w:lang w:val="fr-FR"/>
              </w:rPr>
              <w:t>  apparaît  pour la première fois en 2006, dans un texte de l'IGEN, rédigé par J.P DELAHAYE et intitulé "</w:t>
            </w:r>
            <w:hyperlink r:id="rId6" w:history="1">
              <w:r w:rsidRPr="00065FF4">
                <w:rPr>
                  <w:rStyle w:val="Hyperlink"/>
                  <w:rFonts w:ascii="Comic Sans MS" w:hAnsi="Comic Sans MS" w:cs="Comic Sans MS"/>
                  <w:sz w:val="16"/>
                  <w:szCs w:val="16"/>
                  <w:lang w:val="fr-FR"/>
                </w:rPr>
                <w:t>Le métier de CPE aujourd’hui : quelques repères.</w:t>
              </w:r>
            </w:hyperlink>
            <w:r w:rsidRPr="00065FF4">
              <w:rPr>
                <w:rFonts w:ascii="Comic Sans MS" w:hAnsi="Comic Sans MS" w:cs="Comic Sans MS"/>
                <w:color w:val="auto"/>
                <w:sz w:val="16"/>
                <w:szCs w:val="16"/>
                <w:lang w:val="fr-FR"/>
              </w:rPr>
              <w:t>"²Bien que non réglementaires, ces termes sont mentionnés régulièrement par les IPR dans les lettres de rentrée à l’attention des CPE.</w:t>
            </w:r>
          </w:p>
          <w:p w:rsidR="000414DB" w:rsidRPr="00065FF4" w:rsidRDefault="000414DB" w:rsidP="00EF680E">
            <w:pPr>
              <w:pStyle w:val="Standard"/>
              <w:jc w:val="both"/>
              <w:rPr>
                <w:rFonts w:ascii="Comic Sans MS" w:hAnsi="Comic Sans MS" w:cs="Comic Sans MS"/>
                <w:color w:val="auto"/>
                <w:sz w:val="16"/>
                <w:szCs w:val="16"/>
                <w:lang w:val="fr-FR"/>
              </w:rPr>
            </w:pPr>
          </w:p>
          <w:p w:rsidR="000414DB" w:rsidRPr="00065FF4" w:rsidRDefault="000414DB" w:rsidP="00EF680E">
            <w:pPr>
              <w:pStyle w:val="Standard"/>
              <w:jc w:val="both"/>
              <w:rPr>
                <w:rFonts w:ascii="Comic Sans MS" w:hAnsi="Comic Sans MS" w:cs="Comic Sans MS"/>
                <w:color w:val="auto"/>
                <w:sz w:val="16"/>
                <w:szCs w:val="16"/>
                <w:lang w:val="fr-FR"/>
              </w:rPr>
            </w:pPr>
            <w:hyperlink r:id="rId7" w:history="1">
              <w:r w:rsidRPr="00065FF4">
                <w:rPr>
                  <w:rStyle w:val="Hyperlink"/>
                  <w:rFonts w:ascii="Comic Sans MS" w:hAnsi="Comic Sans MS" w:cs="Comic Sans MS"/>
                  <w:sz w:val="16"/>
                  <w:szCs w:val="16"/>
                  <w:lang w:val="fr-FR"/>
                </w:rPr>
                <w:t>En 2013, dans le cadre de la création des Espé, un nouveau référentiel voit le jour</w:t>
              </w:r>
            </w:hyperlink>
            <w:r w:rsidRPr="00065FF4">
              <w:rPr>
                <w:rFonts w:ascii="Comic Sans MS" w:hAnsi="Comic Sans MS" w:cs="Comic Sans MS"/>
                <w:color w:val="auto"/>
                <w:sz w:val="16"/>
                <w:szCs w:val="16"/>
                <w:lang w:val="fr-FR"/>
              </w:rPr>
              <w:t>. Après une première version où le CPE était désigné «</w:t>
            </w:r>
            <w:r w:rsidRPr="00065FF4">
              <w:rPr>
                <w:rFonts w:ascii="Comic Sans MS" w:hAnsi="Comic Sans MS" w:cs="Comic Sans MS"/>
                <w:b/>
                <w:color w:val="auto"/>
                <w:sz w:val="16"/>
                <w:szCs w:val="16"/>
                <w:lang w:val="fr-FR"/>
              </w:rPr>
              <w:t>conseiller de l'équipe de direction</w:t>
            </w:r>
            <w:r w:rsidRPr="00065FF4">
              <w:rPr>
                <w:rFonts w:ascii="Comic Sans MS" w:hAnsi="Comic Sans MS" w:cs="Comic Sans MS"/>
                <w:color w:val="auto"/>
                <w:sz w:val="16"/>
                <w:szCs w:val="16"/>
                <w:lang w:val="fr-FR"/>
              </w:rPr>
              <w:t>» dite élargie, il devient «</w:t>
            </w:r>
            <w:r w:rsidRPr="00065FF4">
              <w:rPr>
                <w:rFonts w:ascii="Comic Sans MS" w:hAnsi="Comic Sans MS" w:cs="Comic Sans MS"/>
                <w:b/>
                <w:color w:val="auto"/>
                <w:sz w:val="16"/>
                <w:szCs w:val="16"/>
                <w:lang w:val="fr-FR"/>
              </w:rPr>
              <w:t>conseiller de l'ensemble de la communauté éducative</w:t>
            </w:r>
            <w:r w:rsidRPr="00065FF4">
              <w:rPr>
                <w:rFonts w:ascii="Comic Sans MS" w:hAnsi="Comic Sans MS" w:cs="Comic Sans MS"/>
                <w:color w:val="auto"/>
                <w:sz w:val="16"/>
                <w:szCs w:val="16"/>
                <w:lang w:val="fr-FR"/>
              </w:rPr>
              <w:t>».</w:t>
            </w:r>
          </w:p>
          <w:p w:rsidR="000414DB" w:rsidRPr="00065FF4" w:rsidRDefault="000414DB" w:rsidP="00EF680E">
            <w:pPr>
              <w:pStyle w:val="Standard"/>
              <w:jc w:val="both"/>
              <w:rPr>
                <w:rFonts w:ascii="Comic Sans MS" w:hAnsi="Comic Sans MS" w:cs="Comic Sans MS"/>
                <w:color w:val="auto"/>
                <w:sz w:val="16"/>
                <w:szCs w:val="16"/>
                <w:lang w:val="fr-FR"/>
              </w:rPr>
            </w:pPr>
            <w:bookmarkStart w:id="0" w:name="_GoBack"/>
            <w:bookmarkEnd w:id="0"/>
          </w:p>
          <w:p w:rsidR="000414DB" w:rsidRPr="00065FF4" w:rsidRDefault="000414DB" w:rsidP="00EF680E">
            <w:pPr>
              <w:pStyle w:val="Standard"/>
              <w:jc w:val="both"/>
              <w:rPr>
                <w:rFonts w:ascii="Comic Sans MS" w:hAnsi="Comic Sans MS" w:cs="Comic Sans MS"/>
                <w:color w:val="auto"/>
                <w:sz w:val="16"/>
                <w:szCs w:val="16"/>
                <w:lang w:val="fr-FR"/>
              </w:rPr>
            </w:pPr>
            <w:r w:rsidRPr="00065FF4">
              <w:rPr>
                <w:rFonts w:ascii="Comic Sans MS" w:hAnsi="Comic Sans MS" w:cs="Comic Sans MS"/>
                <w:b/>
                <w:color w:val="auto"/>
                <w:sz w:val="16"/>
                <w:szCs w:val="16"/>
                <w:lang w:val="fr-FR"/>
              </w:rPr>
              <w:t>Circulaire de Missions des CPE  de Aout 2015</w:t>
            </w:r>
            <w:r w:rsidRPr="00065FF4">
              <w:rPr>
                <w:rFonts w:ascii="Comic Sans MS" w:hAnsi="Comic Sans MS" w:cs="Comic Sans MS"/>
                <w:color w:val="auto"/>
                <w:sz w:val="16"/>
                <w:szCs w:val="16"/>
                <w:lang w:val="fr-FR"/>
              </w:rPr>
              <w:t> : le rôle de conseil du CPE est renforcé (dans le cadre de la politique d’établissement, dans le cadre de l’organisation de la vie scolaire…….)</w:t>
            </w:r>
          </w:p>
        </w:tc>
      </w:tr>
      <w:tr w:rsidR="000414DB" w:rsidRPr="00065FF4" w:rsidTr="00EF680E">
        <w:trPr>
          <w:jc w:val="center"/>
        </w:trPr>
        <w:tc>
          <w:tcPr>
            <w:tcW w:w="4714" w:type="dxa"/>
            <w:shd w:val="clear" w:color="auto" w:fill="DBE5F1"/>
          </w:tcPr>
          <w:p w:rsidR="000414DB" w:rsidRPr="00065FF4" w:rsidRDefault="000414DB" w:rsidP="00EF680E">
            <w:pPr>
              <w:pStyle w:val="Standard"/>
              <w:jc w:val="both"/>
              <w:rPr>
                <w:rFonts w:ascii="Comic Sans MS" w:hAnsi="Comic Sans MS" w:cs="Comic Sans MS"/>
                <w:b/>
                <w:bCs/>
                <w:color w:val="auto"/>
                <w:sz w:val="16"/>
                <w:szCs w:val="16"/>
                <w:u w:val="single"/>
                <w:lang w:val="fr-FR"/>
              </w:rPr>
            </w:pPr>
          </w:p>
          <w:p w:rsidR="000414DB" w:rsidRPr="00065FF4" w:rsidRDefault="000414DB" w:rsidP="00EF680E">
            <w:pPr>
              <w:pStyle w:val="Standard"/>
              <w:jc w:val="both"/>
              <w:rPr>
                <w:rFonts w:ascii="Comic Sans MS" w:hAnsi="Comic Sans MS" w:cs="Comic Sans MS"/>
                <w:b/>
                <w:bCs/>
                <w:color w:val="auto"/>
                <w:sz w:val="16"/>
                <w:szCs w:val="16"/>
                <w:u w:val="single"/>
                <w:lang w:val="fr-FR"/>
              </w:rPr>
            </w:pPr>
          </w:p>
          <w:p w:rsidR="000414DB" w:rsidRPr="00065FF4" w:rsidRDefault="000414DB" w:rsidP="00EF680E">
            <w:pPr>
              <w:pStyle w:val="Standard"/>
              <w:jc w:val="both"/>
              <w:rPr>
                <w:rFonts w:ascii="Comic Sans MS" w:hAnsi="Comic Sans MS" w:cs="Comic Sans MS"/>
                <w:b/>
                <w:bCs/>
                <w:color w:val="auto"/>
                <w:sz w:val="16"/>
                <w:szCs w:val="16"/>
                <w:u w:val="single"/>
                <w:lang w:val="fr-FR"/>
              </w:rPr>
            </w:pPr>
          </w:p>
          <w:p w:rsidR="000414DB" w:rsidRPr="00065FF4" w:rsidRDefault="000414DB" w:rsidP="00EF680E">
            <w:pPr>
              <w:pStyle w:val="Standard"/>
              <w:jc w:val="both"/>
              <w:rPr>
                <w:rFonts w:ascii="Comic Sans MS" w:hAnsi="Comic Sans MS" w:cs="Comic Sans MS"/>
                <w:b/>
                <w:bCs/>
                <w:color w:val="auto"/>
                <w:sz w:val="16"/>
                <w:szCs w:val="16"/>
                <w:u w:val="single"/>
                <w:lang w:val="fr-FR"/>
              </w:rPr>
            </w:pPr>
          </w:p>
          <w:p w:rsidR="000414DB" w:rsidRPr="00065FF4" w:rsidRDefault="000414DB" w:rsidP="00EF680E">
            <w:pPr>
              <w:pStyle w:val="Standard"/>
              <w:jc w:val="both"/>
              <w:rPr>
                <w:rFonts w:ascii="Comic Sans MS" w:hAnsi="Comic Sans MS" w:cs="Comic Sans MS"/>
                <w:b/>
                <w:bCs/>
                <w:color w:val="auto"/>
                <w:sz w:val="16"/>
                <w:szCs w:val="16"/>
                <w:u w:val="single"/>
                <w:lang w:val="fr-FR"/>
              </w:rPr>
            </w:pPr>
          </w:p>
          <w:p w:rsidR="000414DB" w:rsidRPr="00065FF4" w:rsidRDefault="000414DB" w:rsidP="00EF680E">
            <w:pPr>
              <w:pStyle w:val="Standard"/>
              <w:jc w:val="both"/>
              <w:rPr>
                <w:rFonts w:ascii="Comic Sans MS" w:hAnsi="Comic Sans MS" w:cs="Comic Sans MS"/>
                <w:b/>
                <w:bCs/>
                <w:color w:val="auto"/>
                <w:sz w:val="16"/>
                <w:szCs w:val="16"/>
                <w:u w:val="single"/>
                <w:lang w:val="fr-FR"/>
              </w:rPr>
            </w:pPr>
          </w:p>
          <w:p w:rsidR="000414DB" w:rsidRPr="00065FF4" w:rsidRDefault="000414DB" w:rsidP="00EF680E">
            <w:pPr>
              <w:pStyle w:val="Standard"/>
              <w:jc w:val="both"/>
              <w:rPr>
                <w:rFonts w:ascii="Comic Sans MS" w:hAnsi="Comic Sans MS" w:cs="Comic Sans MS"/>
                <w:b/>
                <w:bCs/>
                <w:color w:val="auto"/>
                <w:sz w:val="16"/>
                <w:szCs w:val="16"/>
                <w:u w:val="single"/>
                <w:lang w:val="fr-FR"/>
              </w:rPr>
            </w:pPr>
          </w:p>
          <w:p w:rsidR="000414DB" w:rsidRPr="00065FF4" w:rsidRDefault="000414DB" w:rsidP="00EF680E">
            <w:pPr>
              <w:pStyle w:val="Standard"/>
              <w:jc w:val="both"/>
              <w:rPr>
                <w:rFonts w:ascii="Comic Sans MS" w:hAnsi="Comic Sans MS" w:cs="Comic Sans MS"/>
                <w:b/>
                <w:bCs/>
                <w:color w:val="auto"/>
                <w:sz w:val="16"/>
                <w:szCs w:val="16"/>
                <w:u w:val="single"/>
                <w:lang w:val="fr-FR"/>
              </w:rPr>
            </w:pPr>
          </w:p>
          <w:p w:rsidR="000414DB" w:rsidRPr="00065FF4" w:rsidRDefault="000414DB" w:rsidP="00EF680E">
            <w:pPr>
              <w:pStyle w:val="Standard"/>
              <w:jc w:val="both"/>
              <w:rPr>
                <w:rFonts w:ascii="Comic Sans MS" w:hAnsi="Comic Sans MS" w:cs="Comic Sans MS"/>
                <w:b/>
                <w:bCs/>
                <w:color w:val="auto"/>
                <w:sz w:val="16"/>
                <w:szCs w:val="16"/>
                <w:u w:val="single"/>
                <w:lang w:val="fr-FR"/>
              </w:rPr>
            </w:pPr>
          </w:p>
          <w:p w:rsidR="000414DB" w:rsidRPr="00065FF4" w:rsidRDefault="000414DB" w:rsidP="00EF680E">
            <w:pPr>
              <w:pStyle w:val="Standard"/>
              <w:jc w:val="both"/>
              <w:rPr>
                <w:rFonts w:ascii="Comic Sans MS" w:hAnsi="Comic Sans MS" w:cs="Comic Sans MS"/>
                <w:b/>
                <w:bCs/>
                <w:color w:val="auto"/>
                <w:sz w:val="16"/>
                <w:szCs w:val="16"/>
                <w:u w:val="single"/>
                <w:lang w:val="fr-FR"/>
              </w:rPr>
            </w:pPr>
          </w:p>
          <w:p w:rsidR="000414DB" w:rsidRPr="00065FF4" w:rsidRDefault="000414DB" w:rsidP="00EF680E">
            <w:pPr>
              <w:pStyle w:val="Standard"/>
              <w:jc w:val="both"/>
              <w:rPr>
                <w:rFonts w:ascii="Comic Sans MS" w:hAnsi="Comic Sans MS" w:cs="Comic Sans MS"/>
                <w:b/>
                <w:bCs/>
                <w:color w:val="auto"/>
                <w:sz w:val="16"/>
                <w:szCs w:val="16"/>
                <w:u w:val="single"/>
                <w:lang w:val="fr-FR"/>
              </w:rPr>
            </w:pPr>
            <w:r w:rsidRPr="00065FF4">
              <w:rPr>
                <w:rFonts w:ascii="Comic Sans MS" w:hAnsi="Comic Sans MS" w:cs="Comic Sans MS"/>
                <w:b/>
                <w:bCs/>
                <w:color w:val="auto"/>
                <w:sz w:val="16"/>
                <w:szCs w:val="16"/>
                <w:u w:val="single"/>
                <w:lang w:val="fr-FR"/>
              </w:rPr>
              <w:t>Le CPE, un expert-conseil au sein de l’EPLE</w:t>
            </w:r>
          </w:p>
          <w:p w:rsidR="000414DB" w:rsidRPr="00065FF4" w:rsidRDefault="000414DB" w:rsidP="00EF680E">
            <w:pPr>
              <w:spacing w:after="0" w:line="240" w:lineRule="auto"/>
              <w:rPr>
                <w:sz w:val="16"/>
                <w:szCs w:val="16"/>
              </w:rPr>
            </w:pPr>
          </w:p>
        </w:tc>
        <w:tc>
          <w:tcPr>
            <w:tcW w:w="4715" w:type="dxa"/>
            <w:shd w:val="clear" w:color="auto" w:fill="FFFFFF"/>
          </w:tcPr>
          <w:p w:rsidR="000414DB" w:rsidRPr="00065FF4" w:rsidRDefault="000414DB" w:rsidP="00EF680E">
            <w:pPr>
              <w:pStyle w:val="Standard"/>
              <w:jc w:val="both"/>
              <w:rPr>
                <w:rFonts w:ascii="Comic Sans MS" w:hAnsi="Comic Sans MS" w:cs="Calibri"/>
                <w:color w:val="auto"/>
                <w:sz w:val="16"/>
                <w:szCs w:val="16"/>
                <w:lang w:val="fr-FR"/>
              </w:rPr>
            </w:pPr>
            <w:r w:rsidRPr="00065FF4">
              <w:rPr>
                <w:rFonts w:ascii="Comic Sans MS" w:hAnsi="Comic Sans MS" w:cs="Calibri"/>
                <w:color w:val="auto"/>
                <w:sz w:val="16"/>
                <w:szCs w:val="16"/>
                <w:lang w:val="fr-FR"/>
              </w:rPr>
              <w:t xml:space="preserve">La formation transversale et non disciplinaire permet au CPE d'apporter un regard spécifique dans le cadre de ses missions et de sa participation aux instances, où il a l'occasion de légitimer son rôle et sa place dans l'EPLE. </w:t>
            </w:r>
          </w:p>
          <w:p w:rsidR="000414DB" w:rsidRPr="00065FF4" w:rsidRDefault="000414DB" w:rsidP="00EF680E">
            <w:pPr>
              <w:pStyle w:val="Standard"/>
              <w:jc w:val="both"/>
              <w:rPr>
                <w:rFonts w:ascii="Comic Sans MS" w:hAnsi="Comic Sans MS" w:cs="Calibri"/>
                <w:color w:val="auto"/>
                <w:sz w:val="12"/>
                <w:szCs w:val="12"/>
                <w:lang w:val="fr-FR"/>
              </w:rPr>
            </w:pPr>
          </w:p>
          <w:p w:rsidR="000414DB" w:rsidRPr="00065FF4" w:rsidRDefault="000414DB" w:rsidP="00EF680E">
            <w:pPr>
              <w:pStyle w:val="Standard"/>
              <w:jc w:val="both"/>
              <w:rPr>
                <w:rFonts w:ascii="Comic Sans MS" w:hAnsi="Comic Sans MS" w:cs="Calibri"/>
                <w:color w:val="auto"/>
                <w:sz w:val="16"/>
                <w:szCs w:val="16"/>
                <w:lang w:val="fr-FR"/>
              </w:rPr>
            </w:pPr>
            <w:r w:rsidRPr="00065FF4">
              <w:rPr>
                <w:rFonts w:ascii="Comic Sans MS" w:hAnsi="Comic Sans MS" w:cs="Calibri"/>
                <w:color w:val="auto"/>
                <w:sz w:val="16"/>
                <w:szCs w:val="16"/>
                <w:lang w:val="fr-FR"/>
              </w:rPr>
              <w:t>L’expertise du CPE implique une vision globale de l'élève et son analyse permet d'apporter des réponses appropriées à la diversité des problématiques rencontrées (décrochage, absentéisme, gestion de classe..) en posant un diagnostic.</w:t>
            </w:r>
          </w:p>
          <w:p w:rsidR="000414DB" w:rsidRPr="00065FF4" w:rsidRDefault="000414DB" w:rsidP="00EF680E">
            <w:pPr>
              <w:pStyle w:val="Standard"/>
              <w:jc w:val="both"/>
              <w:rPr>
                <w:rFonts w:ascii="Comic Sans MS" w:hAnsi="Comic Sans MS" w:cs="Calibri"/>
                <w:color w:val="auto"/>
                <w:sz w:val="12"/>
                <w:szCs w:val="12"/>
                <w:lang w:val="fr-FR"/>
              </w:rPr>
            </w:pPr>
          </w:p>
          <w:p w:rsidR="000414DB" w:rsidRPr="00065FF4" w:rsidRDefault="000414DB" w:rsidP="00EF680E">
            <w:pPr>
              <w:pStyle w:val="Standard"/>
              <w:jc w:val="both"/>
              <w:rPr>
                <w:rFonts w:ascii="Comic Sans MS" w:hAnsi="Comic Sans MS" w:cs="Calibri"/>
                <w:color w:val="auto"/>
                <w:sz w:val="16"/>
                <w:szCs w:val="16"/>
                <w:lang w:val="fr-FR"/>
              </w:rPr>
            </w:pPr>
            <w:r w:rsidRPr="00065FF4">
              <w:rPr>
                <w:rFonts w:ascii="Comic Sans MS" w:hAnsi="Comic Sans MS" w:cs="Calibri"/>
                <w:color w:val="auto"/>
                <w:sz w:val="16"/>
                <w:szCs w:val="16"/>
                <w:lang w:val="fr-FR"/>
              </w:rPr>
              <w:t>Il est «</w:t>
            </w:r>
            <w:r w:rsidRPr="00065FF4">
              <w:rPr>
                <w:rFonts w:ascii="Comic Sans MS" w:hAnsi="Comic Sans MS" w:cs="Calibri"/>
                <w:b/>
                <w:color w:val="auto"/>
                <w:sz w:val="16"/>
                <w:szCs w:val="16"/>
                <w:lang w:val="fr-FR"/>
              </w:rPr>
              <w:t>une personne ressource</w:t>
            </w:r>
            <w:r w:rsidRPr="00065FF4">
              <w:rPr>
                <w:rFonts w:ascii="Comic Sans MS" w:hAnsi="Comic Sans MS" w:cs="Calibri"/>
                <w:color w:val="auto"/>
                <w:sz w:val="16"/>
                <w:szCs w:val="16"/>
                <w:lang w:val="fr-FR"/>
              </w:rPr>
              <w:t>» auprès de la communauté éducative dans de nombreux domaines d'activités (accueil, hébergement en internat, absentéisme, respect des règles, animation éducative, orientation, suivi de l'élève, préventions, MDL et CVL..).</w:t>
            </w:r>
          </w:p>
          <w:p w:rsidR="000414DB" w:rsidRPr="00065FF4" w:rsidRDefault="000414DB" w:rsidP="00EF680E">
            <w:pPr>
              <w:pStyle w:val="Standard"/>
              <w:jc w:val="both"/>
              <w:rPr>
                <w:rFonts w:ascii="Comic Sans MS" w:hAnsi="Comic Sans MS"/>
                <w:sz w:val="16"/>
                <w:szCs w:val="16"/>
                <w:lang w:val="fr-FR"/>
              </w:rPr>
            </w:pPr>
          </w:p>
          <w:p w:rsidR="000414DB" w:rsidRPr="00065FF4" w:rsidRDefault="000414DB" w:rsidP="00065FF4">
            <w:pPr>
              <w:pStyle w:val="Standard"/>
              <w:jc w:val="both"/>
              <w:rPr>
                <w:rFonts w:ascii="Comic Sans MS" w:hAnsi="Comic Sans MS"/>
                <w:sz w:val="16"/>
                <w:szCs w:val="16"/>
                <w:lang w:val="fr-FR"/>
              </w:rPr>
            </w:pPr>
            <w:r w:rsidRPr="00065FF4">
              <w:rPr>
                <w:rFonts w:ascii="Comic Sans MS" w:hAnsi="Comic Sans MS"/>
                <w:sz w:val="16"/>
                <w:szCs w:val="16"/>
                <w:lang w:val="fr-FR"/>
              </w:rPr>
              <w:t>Le CPE, avec son expertise et sa participation aux différentes instances, est un acteur essentiel dans la conduite d'une politique éducative d'un établissement scolaire. Il inscrit son action dans le projet vie scolaire et plus globalement dans le projet d'établissement, ce qui permet de légitimer sa spécificité.</w:t>
            </w:r>
          </w:p>
          <w:p w:rsidR="000414DB" w:rsidRPr="00065FF4" w:rsidRDefault="000414DB" w:rsidP="00EF680E">
            <w:pPr>
              <w:pStyle w:val="Standard"/>
              <w:jc w:val="both"/>
              <w:rPr>
                <w:sz w:val="16"/>
                <w:szCs w:val="16"/>
                <w:lang w:val="fr-FR"/>
              </w:rPr>
            </w:pPr>
          </w:p>
        </w:tc>
      </w:tr>
      <w:tr w:rsidR="000414DB" w:rsidRPr="00065FF4" w:rsidTr="00EF680E">
        <w:trPr>
          <w:jc w:val="center"/>
        </w:trPr>
        <w:tc>
          <w:tcPr>
            <w:tcW w:w="4714" w:type="dxa"/>
            <w:shd w:val="clear" w:color="auto" w:fill="DBE5F1"/>
          </w:tcPr>
          <w:p w:rsidR="000414DB" w:rsidRPr="00065FF4" w:rsidRDefault="000414DB" w:rsidP="00EF680E">
            <w:pPr>
              <w:pStyle w:val="Standard"/>
              <w:jc w:val="both"/>
              <w:rPr>
                <w:rFonts w:ascii="Comic Sans MS" w:hAnsi="Comic Sans MS" w:cs="Comic Sans MS"/>
                <w:b/>
                <w:bCs/>
                <w:color w:val="auto"/>
                <w:sz w:val="16"/>
                <w:szCs w:val="16"/>
                <w:u w:val="single"/>
                <w:lang w:val="fr-FR"/>
              </w:rPr>
            </w:pPr>
          </w:p>
          <w:p w:rsidR="000414DB" w:rsidRPr="00065FF4" w:rsidRDefault="000414DB" w:rsidP="00EF680E">
            <w:pPr>
              <w:pStyle w:val="Standard"/>
              <w:jc w:val="both"/>
              <w:rPr>
                <w:rFonts w:ascii="Comic Sans MS" w:hAnsi="Comic Sans MS" w:cs="Comic Sans MS"/>
                <w:b/>
                <w:bCs/>
                <w:color w:val="auto"/>
                <w:sz w:val="16"/>
                <w:szCs w:val="16"/>
                <w:u w:val="single"/>
                <w:lang w:val="fr-FR"/>
              </w:rPr>
            </w:pPr>
          </w:p>
          <w:p w:rsidR="000414DB" w:rsidRPr="00065FF4" w:rsidRDefault="000414DB" w:rsidP="00EF680E">
            <w:pPr>
              <w:pStyle w:val="Standard"/>
              <w:jc w:val="both"/>
              <w:rPr>
                <w:rFonts w:ascii="Comic Sans MS" w:hAnsi="Comic Sans MS" w:cs="Comic Sans MS"/>
                <w:b/>
                <w:bCs/>
                <w:color w:val="auto"/>
                <w:sz w:val="16"/>
                <w:szCs w:val="16"/>
                <w:u w:val="single"/>
                <w:lang w:val="fr-FR"/>
              </w:rPr>
            </w:pPr>
          </w:p>
          <w:p w:rsidR="000414DB" w:rsidRPr="00065FF4" w:rsidRDefault="000414DB" w:rsidP="00EF680E">
            <w:pPr>
              <w:pStyle w:val="Standard"/>
              <w:jc w:val="both"/>
              <w:rPr>
                <w:rFonts w:ascii="Comic Sans MS" w:hAnsi="Comic Sans MS" w:cs="Comic Sans MS"/>
                <w:b/>
                <w:bCs/>
                <w:color w:val="auto"/>
                <w:sz w:val="16"/>
                <w:szCs w:val="16"/>
                <w:u w:val="single"/>
                <w:lang w:val="fr-FR"/>
              </w:rPr>
            </w:pPr>
          </w:p>
          <w:p w:rsidR="000414DB" w:rsidRPr="00065FF4" w:rsidRDefault="000414DB" w:rsidP="00EF680E">
            <w:pPr>
              <w:pStyle w:val="Standard"/>
              <w:jc w:val="both"/>
              <w:rPr>
                <w:rFonts w:ascii="Comic Sans MS" w:hAnsi="Comic Sans MS" w:cs="Comic Sans MS"/>
                <w:b/>
                <w:bCs/>
                <w:color w:val="auto"/>
                <w:sz w:val="16"/>
                <w:szCs w:val="16"/>
                <w:u w:val="single"/>
                <w:lang w:val="fr-FR"/>
              </w:rPr>
            </w:pPr>
          </w:p>
          <w:p w:rsidR="000414DB" w:rsidRPr="00065FF4" w:rsidRDefault="000414DB" w:rsidP="00EF680E">
            <w:pPr>
              <w:pStyle w:val="Standard"/>
              <w:jc w:val="both"/>
              <w:rPr>
                <w:rFonts w:ascii="Comic Sans MS" w:hAnsi="Comic Sans MS" w:cs="Comic Sans MS"/>
                <w:b/>
                <w:bCs/>
                <w:color w:val="auto"/>
                <w:sz w:val="16"/>
                <w:szCs w:val="16"/>
                <w:u w:val="single"/>
                <w:lang w:val="fr-FR"/>
              </w:rPr>
            </w:pPr>
            <w:r w:rsidRPr="00065FF4">
              <w:rPr>
                <w:rFonts w:ascii="Comic Sans MS" w:hAnsi="Comic Sans MS" w:cs="Comic Sans MS"/>
                <w:b/>
                <w:bCs/>
                <w:color w:val="auto"/>
                <w:sz w:val="16"/>
                <w:szCs w:val="16"/>
                <w:u w:val="single"/>
                <w:lang w:val="fr-FR"/>
              </w:rPr>
              <w:t>Le CPE, conseiller technique du chef d'établissement et de l’ensemble de la communauté éducative</w:t>
            </w:r>
          </w:p>
          <w:p w:rsidR="000414DB" w:rsidRPr="00065FF4" w:rsidRDefault="000414DB" w:rsidP="00EF680E">
            <w:pPr>
              <w:spacing w:after="0" w:line="240" w:lineRule="auto"/>
              <w:rPr>
                <w:sz w:val="16"/>
                <w:szCs w:val="16"/>
              </w:rPr>
            </w:pPr>
          </w:p>
        </w:tc>
        <w:tc>
          <w:tcPr>
            <w:tcW w:w="4715" w:type="dxa"/>
            <w:shd w:val="clear" w:color="auto" w:fill="FFFFFF"/>
          </w:tcPr>
          <w:p w:rsidR="000414DB" w:rsidRPr="00065FF4" w:rsidRDefault="000414DB" w:rsidP="00EF680E">
            <w:pPr>
              <w:pStyle w:val="Standard"/>
              <w:jc w:val="both"/>
              <w:rPr>
                <w:rFonts w:ascii="Comic Sans MS" w:hAnsi="Comic Sans MS" w:cs="Calibri"/>
                <w:color w:val="auto"/>
                <w:sz w:val="16"/>
                <w:szCs w:val="16"/>
                <w:lang w:val="fr-FR"/>
              </w:rPr>
            </w:pPr>
            <w:r w:rsidRPr="00065FF4">
              <w:rPr>
                <w:rFonts w:ascii="Comic Sans MS" w:hAnsi="Comic Sans MS" w:cs="Calibri"/>
                <w:color w:val="auto"/>
                <w:sz w:val="16"/>
                <w:szCs w:val="16"/>
                <w:lang w:val="fr-FR"/>
              </w:rPr>
              <w:t xml:space="preserve">C'est une question que le CPE ne se pose pas toujours puisqu'il s'agit d'une notion assez récente. Finalement, l'idée de conseil est assez évidente mais savoir à qui ces conseils sont destinés l'est encore moins. On ne nait pas conseiller technique, on le devient à l’instar de la formulation de </w:t>
            </w:r>
            <w:hyperlink r:id="rId8" w:history="1">
              <w:r w:rsidRPr="00065FF4">
                <w:rPr>
                  <w:rStyle w:val="Hyperlink"/>
                  <w:rFonts w:ascii="Comic Sans MS" w:hAnsi="Comic Sans MS" w:cs="Calibri"/>
                  <w:sz w:val="16"/>
                  <w:szCs w:val="16"/>
                  <w:lang w:val="fr-FR"/>
                </w:rPr>
                <w:t>J-P Obin</w:t>
              </w:r>
            </w:hyperlink>
            <w:r w:rsidRPr="00065FF4">
              <w:rPr>
                <w:rFonts w:ascii="Comic Sans MS" w:hAnsi="Comic Sans MS" w:cs="Calibri"/>
                <w:color w:val="auto"/>
                <w:sz w:val="16"/>
                <w:szCs w:val="16"/>
                <w:lang w:val="fr-FR"/>
              </w:rPr>
              <w:t xml:space="preserve"> par le biais de l’expérience.</w:t>
            </w:r>
          </w:p>
          <w:p w:rsidR="000414DB" w:rsidRPr="00065FF4" w:rsidRDefault="000414DB" w:rsidP="00EF680E">
            <w:pPr>
              <w:pStyle w:val="Standard"/>
              <w:jc w:val="both"/>
              <w:rPr>
                <w:rFonts w:ascii="Comic Sans MS" w:hAnsi="Comic Sans MS" w:cs="Calibri"/>
                <w:color w:val="auto"/>
                <w:sz w:val="12"/>
                <w:szCs w:val="12"/>
                <w:lang w:val="fr-FR"/>
              </w:rPr>
            </w:pPr>
          </w:p>
          <w:p w:rsidR="000414DB" w:rsidRPr="00065FF4" w:rsidRDefault="000414DB" w:rsidP="00EF680E">
            <w:pPr>
              <w:pStyle w:val="Standard"/>
              <w:jc w:val="both"/>
              <w:rPr>
                <w:rFonts w:ascii="Comic Sans MS" w:hAnsi="Comic Sans MS"/>
                <w:sz w:val="16"/>
                <w:szCs w:val="16"/>
                <w:lang w:val="fr-FR"/>
              </w:rPr>
            </w:pPr>
            <w:r w:rsidRPr="00065FF4">
              <w:rPr>
                <w:rFonts w:ascii="Comic Sans MS" w:hAnsi="Comic Sans MS" w:cs="Calibri"/>
                <w:color w:val="auto"/>
                <w:sz w:val="16"/>
                <w:szCs w:val="16"/>
                <w:lang w:val="fr-FR"/>
              </w:rPr>
              <w:t xml:space="preserve">La notion de conseiller technique pose véritablement la question du rapport au chef d'établissement, indépendamment des questions de personnes. </w:t>
            </w:r>
          </w:p>
          <w:p w:rsidR="000414DB" w:rsidRPr="00065FF4" w:rsidRDefault="000414DB" w:rsidP="00EF680E">
            <w:pPr>
              <w:pStyle w:val="Standard"/>
              <w:jc w:val="both"/>
              <w:rPr>
                <w:rFonts w:ascii="Comic Sans MS" w:hAnsi="Comic Sans MS"/>
                <w:sz w:val="16"/>
                <w:szCs w:val="16"/>
                <w:lang w:val="fr-FR"/>
              </w:rPr>
            </w:pPr>
            <w:r w:rsidRPr="00065FF4">
              <w:rPr>
                <w:rFonts w:ascii="Comic Sans MS" w:hAnsi="Comic Sans MS"/>
                <w:sz w:val="16"/>
                <w:szCs w:val="16"/>
                <w:lang w:val="fr-FR"/>
              </w:rPr>
              <w:t xml:space="preserve">La posture du chef d'établissement va souvent déterminer celle du CPE et la dimension de conseiller  technique dépend vraiment des contextes locaux, des relations humaines, du niveau de confiance et de la reconnaissance professionnelle accordé au CPE au sein d’un EPLE. </w:t>
            </w:r>
          </w:p>
          <w:p w:rsidR="000414DB" w:rsidRPr="00065FF4" w:rsidRDefault="000414DB" w:rsidP="00EF680E">
            <w:pPr>
              <w:pStyle w:val="Standard"/>
              <w:jc w:val="both"/>
              <w:rPr>
                <w:rFonts w:ascii="Comic Sans MS" w:hAnsi="Comic Sans MS"/>
                <w:sz w:val="16"/>
                <w:szCs w:val="16"/>
                <w:lang w:val="fr-FR"/>
              </w:rPr>
            </w:pPr>
          </w:p>
          <w:p w:rsidR="000414DB" w:rsidRPr="00065FF4" w:rsidRDefault="000414DB" w:rsidP="00EF680E">
            <w:pPr>
              <w:pStyle w:val="Standard"/>
              <w:jc w:val="both"/>
              <w:rPr>
                <w:rFonts w:ascii="Comic Sans MS" w:hAnsi="Comic Sans MS" w:cs="Calibri"/>
                <w:color w:val="auto"/>
                <w:sz w:val="16"/>
                <w:szCs w:val="16"/>
                <w:lang w:val="fr-FR"/>
              </w:rPr>
            </w:pPr>
            <w:r w:rsidRPr="00065FF4">
              <w:rPr>
                <w:rFonts w:ascii="Comic Sans MS" w:hAnsi="Comic Sans MS" w:cs="Calibri"/>
                <w:color w:val="auto"/>
                <w:sz w:val="16"/>
                <w:szCs w:val="16"/>
                <w:lang w:val="fr-FR"/>
              </w:rPr>
              <w:t>Cependant, le CPE en tant que chef du service vie scolaire, en lien avec tous les acteurs de la communauté éducative, apparaît fréquemment, comme une personne ressource incontournable pour le chef d'établissement et notamment vis-à-vis des personnels enseignants dans le cadre des conseils de classe.</w:t>
            </w:r>
          </w:p>
          <w:p w:rsidR="000414DB" w:rsidRPr="00065FF4" w:rsidRDefault="000414DB" w:rsidP="00EF680E">
            <w:pPr>
              <w:pStyle w:val="Standard"/>
              <w:jc w:val="both"/>
              <w:rPr>
                <w:rFonts w:ascii="Comic Sans MS" w:hAnsi="Comic Sans MS" w:cs="Calibri"/>
                <w:color w:val="auto"/>
                <w:sz w:val="16"/>
                <w:szCs w:val="16"/>
                <w:lang w:val="fr-FR"/>
              </w:rPr>
            </w:pPr>
          </w:p>
          <w:p w:rsidR="000414DB" w:rsidRPr="00065FF4" w:rsidRDefault="000414DB" w:rsidP="00EF680E">
            <w:pPr>
              <w:pStyle w:val="Standard"/>
              <w:jc w:val="both"/>
              <w:rPr>
                <w:rFonts w:ascii="Comic Sans MS" w:hAnsi="Comic Sans MS" w:cs="Calibri"/>
                <w:color w:val="auto"/>
                <w:sz w:val="16"/>
                <w:szCs w:val="16"/>
                <w:lang w:val="fr-FR"/>
              </w:rPr>
            </w:pPr>
          </w:p>
          <w:p w:rsidR="000414DB" w:rsidRPr="00065FF4" w:rsidRDefault="000414DB" w:rsidP="00EF680E">
            <w:pPr>
              <w:pStyle w:val="Standard"/>
              <w:jc w:val="both"/>
              <w:rPr>
                <w:rFonts w:ascii="Comic Sans MS" w:hAnsi="Comic Sans MS"/>
                <w:sz w:val="16"/>
                <w:szCs w:val="16"/>
                <w:lang w:val="fr-FR"/>
              </w:rPr>
            </w:pPr>
            <w:r w:rsidRPr="00065FF4">
              <w:rPr>
                <w:rFonts w:ascii="Comic Sans MS" w:hAnsi="Comic Sans MS"/>
                <w:sz w:val="16"/>
                <w:szCs w:val="16"/>
                <w:lang w:val="fr-FR"/>
              </w:rPr>
              <w:t>De même, si l'on considère que, dans le cadre de la décentralisation, le chef d'établissement a de plus en plus de responsabilités et une charge de travail supplémentaire, cela peut supposer qu'il ait besoin de plus de collaborateurs dont le CPE, en tant qu’acteur de terrain en lien avec les élèves et les différents personnels au quotidien.</w:t>
            </w:r>
          </w:p>
          <w:p w:rsidR="000414DB" w:rsidRPr="00065FF4" w:rsidRDefault="000414DB" w:rsidP="00EF680E">
            <w:pPr>
              <w:pStyle w:val="Standard"/>
              <w:jc w:val="both"/>
              <w:rPr>
                <w:rFonts w:ascii="Comic Sans MS" w:hAnsi="Comic Sans MS" w:cs="Calibri"/>
                <w:color w:val="auto"/>
                <w:sz w:val="16"/>
                <w:szCs w:val="16"/>
                <w:lang w:val="fr-FR"/>
              </w:rPr>
            </w:pPr>
          </w:p>
          <w:p w:rsidR="000414DB" w:rsidRPr="00065FF4" w:rsidRDefault="000414DB" w:rsidP="00EF680E">
            <w:pPr>
              <w:pStyle w:val="Standard"/>
              <w:jc w:val="both"/>
              <w:rPr>
                <w:rFonts w:ascii="Comic Sans MS" w:hAnsi="Comic Sans MS" w:cs="Calibri"/>
                <w:color w:val="auto"/>
                <w:sz w:val="16"/>
                <w:szCs w:val="16"/>
                <w:lang w:val="fr-FR"/>
              </w:rPr>
            </w:pPr>
            <w:r w:rsidRPr="00065FF4">
              <w:rPr>
                <w:rFonts w:ascii="Comic Sans MS" w:hAnsi="Comic Sans MS" w:cs="Calibri"/>
                <w:color w:val="auto"/>
                <w:sz w:val="16"/>
                <w:szCs w:val="16"/>
                <w:lang w:val="fr-FR"/>
              </w:rPr>
              <w:t xml:space="preserve">Par ailleurs, la professionnalité du CPE suppose d'écrire quotidiennement afin de construire un véritable projet, recueil des observations, analyses,  actions,  création d’outils, réflexions menées. Cette réalisation fait du CPE un véritable conseiller du chef d'établissement et de l’ensemble de communauté éducative, en le décentrant de sa position de chef de service au sens pur du terme, en assurant la mémoire collective du pôle éducatif de l’EPLE. </w:t>
            </w:r>
          </w:p>
          <w:p w:rsidR="000414DB" w:rsidRPr="00065FF4" w:rsidRDefault="000414DB" w:rsidP="00EF680E">
            <w:pPr>
              <w:spacing w:after="0" w:line="240" w:lineRule="auto"/>
              <w:rPr>
                <w:sz w:val="16"/>
                <w:szCs w:val="16"/>
              </w:rPr>
            </w:pPr>
          </w:p>
        </w:tc>
      </w:tr>
      <w:tr w:rsidR="000414DB" w:rsidRPr="00065FF4" w:rsidTr="00EF680E">
        <w:trPr>
          <w:jc w:val="center"/>
        </w:trPr>
        <w:tc>
          <w:tcPr>
            <w:tcW w:w="4714" w:type="dxa"/>
            <w:shd w:val="clear" w:color="auto" w:fill="DBE5F1"/>
          </w:tcPr>
          <w:p w:rsidR="000414DB" w:rsidRPr="00065FF4" w:rsidRDefault="000414DB" w:rsidP="00EF680E">
            <w:pPr>
              <w:spacing w:after="0" w:line="240" w:lineRule="auto"/>
              <w:jc w:val="center"/>
              <w:rPr>
                <w:rFonts w:ascii="Comic Sans MS" w:hAnsi="Comic Sans MS"/>
                <w:b/>
                <w:color w:val="0F243E"/>
                <w:sz w:val="16"/>
                <w:szCs w:val="16"/>
              </w:rPr>
            </w:pPr>
          </w:p>
          <w:p w:rsidR="000414DB" w:rsidRPr="00065FF4" w:rsidRDefault="000414DB" w:rsidP="00EF680E">
            <w:pPr>
              <w:spacing w:after="0" w:line="240" w:lineRule="auto"/>
              <w:jc w:val="center"/>
              <w:rPr>
                <w:rFonts w:ascii="Comic Sans MS" w:hAnsi="Comic Sans MS"/>
                <w:b/>
                <w:color w:val="0F243E"/>
                <w:sz w:val="16"/>
                <w:szCs w:val="16"/>
              </w:rPr>
            </w:pPr>
          </w:p>
          <w:p w:rsidR="000414DB" w:rsidRPr="00065FF4" w:rsidRDefault="000414DB" w:rsidP="00EF680E">
            <w:pPr>
              <w:spacing w:after="0" w:line="240" w:lineRule="auto"/>
              <w:jc w:val="center"/>
              <w:rPr>
                <w:rFonts w:ascii="Comic Sans MS" w:hAnsi="Comic Sans MS"/>
                <w:b/>
                <w:color w:val="0F243E"/>
                <w:sz w:val="16"/>
                <w:szCs w:val="16"/>
              </w:rPr>
            </w:pPr>
          </w:p>
          <w:p w:rsidR="000414DB" w:rsidRPr="00065FF4" w:rsidRDefault="000414DB" w:rsidP="00EF680E">
            <w:pPr>
              <w:spacing w:after="0" w:line="240" w:lineRule="auto"/>
              <w:jc w:val="center"/>
              <w:rPr>
                <w:rFonts w:ascii="Comic Sans MS" w:hAnsi="Comic Sans MS"/>
                <w:b/>
                <w:color w:val="0F243E"/>
                <w:sz w:val="16"/>
                <w:szCs w:val="16"/>
              </w:rPr>
            </w:pPr>
          </w:p>
          <w:p w:rsidR="000414DB" w:rsidRPr="00065FF4" w:rsidRDefault="000414DB" w:rsidP="00EF680E">
            <w:pPr>
              <w:spacing w:after="0" w:line="240" w:lineRule="auto"/>
              <w:jc w:val="center"/>
              <w:rPr>
                <w:rFonts w:ascii="Comic Sans MS" w:hAnsi="Comic Sans MS"/>
                <w:sz w:val="16"/>
                <w:szCs w:val="16"/>
                <w:u w:val="single"/>
              </w:rPr>
            </w:pPr>
            <w:r w:rsidRPr="00065FF4">
              <w:rPr>
                <w:rFonts w:ascii="Comic Sans MS" w:hAnsi="Comic Sans MS"/>
                <w:b/>
                <w:color w:val="0F243E"/>
                <w:sz w:val="16"/>
                <w:szCs w:val="16"/>
                <w:u w:val="single"/>
              </w:rPr>
              <w:t xml:space="preserve">Les champs de compétences professionnelles du CPE, en tant que Conseiller Technique </w:t>
            </w:r>
          </w:p>
        </w:tc>
        <w:tc>
          <w:tcPr>
            <w:tcW w:w="4715" w:type="dxa"/>
            <w:shd w:val="clear" w:color="auto" w:fill="FFFFFF"/>
          </w:tcPr>
          <w:p w:rsidR="000414DB" w:rsidRPr="00065FF4" w:rsidRDefault="000414DB" w:rsidP="00EF680E">
            <w:pPr>
              <w:autoSpaceDE w:val="0"/>
              <w:autoSpaceDN w:val="0"/>
              <w:adjustRightInd w:val="0"/>
              <w:spacing w:after="0" w:line="240" w:lineRule="auto"/>
              <w:rPr>
                <w:rFonts w:ascii="Comic Sans MS" w:hAnsi="Comic Sans MS" w:cs="ArialNarrow"/>
                <w:sz w:val="16"/>
                <w:szCs w:val="16"/>
              </w:rPr>
            </w:pPr>
            <w:r w:rsidRPr="00065FF4">
              <w:rPr>
                <w:rFonts w:ascii="Comic Sans MS" w:hAnsi="Comic Sans MS" w:cs="Symbol"/>
                <w:sz w:val="16"/>
                <w:szCs w:val="16"/>
              </w:rPr>
              <w:t xml:space="preserve">- </w:t>
            </w:r>
            <w:r w:rsidRPr="00065FF4">
              <w:rPr>
                <w:rFonts w:ascii="Comic Sans MS" w:hAnsi="Comic Sans MS" w:cs="ArialNarrow"/>
                <w:sz w:val="16"/>
                <w:szCs w:val="16"/>
              </w:rPr>
              <w:t>Élaborer, suivre et analyser les indicateurs du service de la vie scolaire</w:t>
            </w:r>
          </w:p>
          <w:p w:rsidR="000414DB" w:rsidRPr="00065FF4" w:rsidRDefault="000414DB" w:rsidP="00EF680E">
            <w:pPr>
              <w:autoSpaceDE w:val="0"/>
              <w:autoSpaceDN w:val="0"/>
              <w:adjustRightInd w:val="0"/>
              <w:spacing w:after="0" w:line="240" w:lineRule="auto"/>
              <w:rPr>
                <w:rFonts w:ascii="Comic Sans MS" w:hAnsi="Comic Sans MS" w:cs="ArialNarrow"/>
                <w:sz w:val="16"/>
                <w:szCs w:val="16"/>
              </w:rPr>
            </w:pPr>
            <w:r w:rsidRPr="00065FF4">
              <w:rPr>
                <w:rFonts w:ascii="Comic Sans MS" w:hAnsi="Comic Sans MS" w:cs="Symbol"/>
                <w:sz w:val="16"/>
                <w:szCs w:val="16"/>
              </w:rPr>
              <w:t xml:space="preserve">- </w:t>
            </w:r>
            <w:r w:rsidRPr="00065FF4">
              <w:rPr>
                <w:rFonts w:ascii="Comic Sans MS" w:hAnsi="Comic Sans MS" w:cs="ArialNarrow"/>
                <w:sz w:val="16"/>
                <w:szCs w:val="16"/>
              </w:rPr>
              <w:t>Participer à l’élaboration du projet d’éducation de l’établissement</w:t>
            </w:r>
          </w:p>
          <w:p w:rsidR="000414DB" w:rsidRPr="00065FF4" w:rsidRDefault="000414DB" w:rsidP="00EF680E">
            <w:pPr>
              <w:autoSpaceDE w:val="0"/>
              <w:autoSpaceDN w:val="0"/>
              <w:adjustRightInd w:val="0"/>
              <w:spacing w:after="0" w:line="240" w:lineRule="auto"/>
              <w:rPr>
                <w:rFonts w:ascii="Comic Sans MS" w:hAnsi="Comic Sans MS" w:cs="ArialNarrow"/>
                <w:sz w:val="16"/>
                <w:szCs w:val="16"/>
              </w:rPr>
            </w:pPr>
            <w:r w:rsidRPr="00065FF4">
              <w:rPr>
                <w:rFonts w:ascii="Comic Sans MS" w:hAnsi="Comic Sans MS" w:cs="Symbol"/>
                <w:sz w:val="16"/>
                <w:szCs w:val="16"/>
              </w:rPr>
              <w:t xml:space="preserve">- </w:t>
            </w:r>
            <w:r w:rsidRPr="00065FF4">
              <w:rPr>
                <w:rFonts w:ascii="Comic Sans MS" w:hAnsi="Comic Sans MS" w:cs="ArialNarrow"/>
                <w:sz w:val="16"/>
                <w:szCs w:val="16"/>
              </w:rPr>
              <w:t>Être force de proposition pour la mise en place d’actions de remédiation et de prévention, d’ouverture culturelle</w:t>
            </w:r>
          </w:p>
          <w:p w:rsidR="000414DB" w:rsidRPr="00065FF4" w:rsidRDefault="000414DB" w:rsidP="00EF680E">
            <w:pPr>
              <w:autoSpaceDE w:val="0"/>
              <w:autoSpaceDN w:val="0"/>
              <w:adjustRightInd w:val="0"/>
              <w:spacing w:after="0" w:line="240" w:lineRule="auto"/>
              <w:rPr>
                <w:rFonts w:ascii="Comic Sans MS" w:hAnsi="Comic Sans MS" w:cs="ArialNarrow"/>
                <w:sz w:val="16"/>
                <w:szCs w:val="16"/>
              </w:rPr>
            </w:pPr>
            <w:r w:rsidRPr="00065FF4">
              <w:rPr>
                <w:rFonts w:ascii="Comic Sans MS" w:hAnsi="Comic Sans MS" w:cs="ArialNarrow"/>
                <w:sz w:val="16"/>
                <w:szCs w:val="16"/>
              </w:rPr>
              <w:t>-Élaborer le rapport annuel d’activité de la vie scolaire de l’établissement</w:t>
            </w:r>
          </w:p>
          <w:p w:rsidR="000414DB" w:rsidRPr="00065FF4" w:rsidRDefault="000414DB" w:rsidP="00EF680E">
            <w:pPr>
              <w:autoSpaceDE w:val="0"/>
              <w:autoSpaceDN w:val="0"/>
              <w:adjustRightInd w:val="0"/>
              <w:spacing w:after="0" w:line="240" w:lineRule="auto"/>
              <w:rPr>
                <w:rFonts w:ascii="Comic Sans MS" w:hAnsi="Comic Sans MS" w:cs="ArialNarrow"/>
                <w:sz w:val="16"/>
                <w:szCs w:val="16"/>
              </w:rPr>
            </w:pPr>
            <w:r w:rsidRPr="00065FF4">
              <w:rPr>
                <w:rFonts w:ascii="Comic Sans MS" w:hAnsi="Comic Sans MS" w:cs="Symbol"/>
                <w:sz w:val="16"/>
                <w:szCs w:val="16"/>
              </w:rPr>
              <w:t xml:space="preserve">- </w:t>
            </w:r>
            <w:r w:rsidRPr="00065FF4">
              <w:rPr>
                <w:rFonts w:ascii="Comic Sans MS" w:hAnsi="Comic Sans MS" w:cs="ArialNarrow"/>
                <w:sz w:val="16"/>
                <w:szCs w:val="16"/>
              </w:rPr>
              <w:t>Rendre compte</w:t>
            </w:r>
          </w:p>
          <w:p w:rsidR="000414DB" w:rsidRPr="00065FF4" w:rsidRDefault="000414DB" w:rsidP="00EF680E">
            <w:pPr>
              <w:autoSpaceDE w:val="0"/>
              <w:autoSpaceDN w:val="0"/>
              <w:adjustRightInd w:val="0"/>
              <w:spacing w:after="0" w:line="240" w:lineRule="auto"/>
              <w:rPr>
                <w:rFonts w:ascii="Comic Sans MS" w:hAnsi="Comic Sans MS" w:cs="ArialNarrow"/>
                <w:sz w:val="16"/>
                <w:szCs w:val="16"/>
              </w:rPr>
            </w:pPr>
            <w:r w:rsidRPr="00065FF4">
              <w:rPr>
                <w:rFonts w:ascii="Comic Sans MS" w:hAnsi="Comic Sans MS" w:cs="Symbol"/>
                <w:sz w:val="16"/>
                <w:szCs w:val="16"/>
              </w:rPr>
              <w:t xml:space="preserve">- </w:t>
            </w:r>
            <w:r w:rsidRPr="00065FF4">
              <w:rPr>
                <w:rFonts w:ascii="Comic Sans MS" w:hAnsi="Comic Sans MS" w:cs="ArialNarrow"/>
                <w:sz w:val="16"/>
                <w:szCs w:val="16"/>
              </w:rPr>
              <w:t>Contribuer, par ses analyses et productions, aux réflexions des différentes instances de l’établissement :</w:t>
            </w:r>
          </w:p>
          <w:p w:rsidR="000414DB" w:rsidRPr="00065FF4" w:rsidRDefault="000414DB" w:rsidP="00EF680E">
            <w:pPr>
              <w:autoSpaceDE w:val="0"/>
              <w:autoSpaceDN w:val="0"/>
              <w:adjustRightInd w:val="0"/>
              <w:spacing w:after="0" w:line="240" w:lineRule="auto"/>
              <w:rPr>
                <w:rFonts w:ascii="Comic Sans MS" w:hAnsi="Comic Sans MS" w:cs="ArialNarrow"/>
                <w:sz w:val="16"/>
                <w:szCs w:val="16"/>
              </w:rPr>
            </w:pPr>
            <w:r w:rsidRPr="00065FF4">
              <w:rPr>
                <w:rFonts w:ascii="Comic Sans MS" w:hAnsi="Comic Sans MS" w:cs="Arial"/>
                <w:sz w:val="16"/>
                <w:szCs w:val="16"/>
              </w:rPr>
              <w:t xml:space="preserve">         - </w:t>
            </w:r>
            <w:r w:rsidRPr="00065FF4">
              <w:rPr>
                <w:rFonts w:ascii="Comic Sans MS" w:hAnsi="Comic Sans MS" w:cs="ArialNarrow"/>
                <w:sz w:val="16"/>
                <w:szCs w:val="16"/>
              </w:rPr>
              <w:t>réunions de l’équipe de direction</w:t>
            </w:r>
          </w:p>
          <w:p w:rsidR="000414DB" w:rsidRPr="00065FF4" w:rsidRDefault="000414DB" w:rsidP="00EF680E">
            <w:pPr>
              <w:autoSpaceDE w:val="0"/>
              <w:autoSpaceDN w:val="0"/>
              <w:adjustRightInd w:val="0"/>
              <w:spacing w:after="0" w:line="240" w:lineRule="auto"/>
              <w:rPr>
                <w:rFonts w:ascii="Comic Sans MS" w:hAnsi="Comic Sans MS" w:cs="ArialNarrow"/>
                <w:sz w:val="16"/>
                <w:szCs w:val="16"/>
              </w:rPr>
            </w:pPr>
            <w:r w:rsidRPr="00065FF4">
              <w:rPr>
                <w:rFonts w:ascii="Comic Sans MS" w:hAnsi="Comic Sans MS" w:cs="Arial"/>
                <w:sz w:val="16"/>
                <w:szCs w:val="16"/>
              </w:rPr>
              <w:t xml:space="preserve">         - </w:t>
            </w:r>
            <w:r w:rsidRPr="00065FF4">
              <w:rPr>
                <w:rFonts w:ascii="Comic Sans MS" w:hAnsi="Comic Sans MS" w:cs="ArialNarrow"/>
                <w:sz w:val="16"/>
                <w:szCs w:val="16"/>
              </w:rPr>
              <w:t>conseil d’administration, conseil pédagogique, CESC,</w:t>
            </w:r>
          </w:p>
          <w:p w:rsidR="000414DB" w:rsidRPr="00065FF4" w:rsidRDefault="000414DB" w:rsidP="00EF680E">
            <w:pPr>
              <w:autoSpaceDE w:val="0"/>
              <w:autoSpaceDN w:val="0"/>
              <w:adjustRightInd w:val="0"/>
              <w:spacing w:after="0" w:line="240" w:lineRule="auto"/>
              <w:rPr>
                <w:rFonts w:ascii="Comic Sans MS" w:hAnsi="Comic Sans MS" w:cs="ArialNarrow"/>
                <w:sz w:val="16"/>
                <w:szCs w:val="16"/>
              </w:rPr>
            </w:pPr>
            <w:r w:rsidRPr="00065FF4">
              <w:rPr>
                <w:rFonts w:ascii="Comic Sans MS" w:hAnsi="Comic Sans MS" w:cs="Arial"/>
                <w:sz w:val="16"/>
                <w:szCs w:val="16"/>
              </w:rPr>
              <w:t xml:space="preserve">         - </w:t>
            </w:r>
            <w:r w:rsidRPr="00065FF4">
              <w:rPr>
                <w:rFonts w:ascii="Comic Sans MS" w:hAnsi="Comic Sans MS" w:cs="ArialNarrow"/>
                <w:sz w:val="16"/>
                <w:szCs w:val="16"/>
              </w:rPr>
              <w:t>cellule de veille, GAIN, …</w:t>
            </w:r>
          </w:p>
          <w:p w:rsidR="000414DB" w:rsidRPr="00065FF4" w:rsidRDefault="000414DB" w:rsidP="00EF680E">
            <w:pPr>
              <w:autoSpaceDE w:val="0"/>
              <w:autoSpaceDN w:val="0"/>
              <w:adjustRightInd w:val="0"/>
              <w:spacing w:after="0" w:line="240" w:lineRule="auto"/>
              <w:rPr>
                <w:rFonts w:ascii="Comic Sans MS" w:hAnsi="Comic Sans MS" w:cs="ArialNarrow"/>
                <w:sz w:val="16"/>
                <w:szCs w:val="16"/>
              </w:rPr>
            </w:pPr>
            <w:r w:rsidRPr="00065FF4">
              <w:rPr>
                <w:rFonts w:ascii="Comic Sans MS" w:hAnsi="Comic Sans MS" w:cs="Arial"/>
                <w:sz w:val="16"/>
                <w:szCs w:val="16"/>
              </w:rPr>
              <w:t xml:space="preserve">         - </w:t>
            </w:r>
            <w:r w:rsidRPr="00065FF4">
              <w:rPr>
                <w:rFonts w:ascii="Comic Sans MS" w:hAnsi="Comic Sans MS" w:cs="ArialNarrow"/>
                <w:sz w:val="16"/>
                <w:szCs w:val="16"/>
              </w:rPr>
              <w:t>commission hygiène et sécurité</w:t>
            </w:r>
          </w:p>
          <w:p w:rsidR="000414DB" w:rsidRPr="00065FF4" w:rsidRDefault="000414DB" w:rsidP="00EF680E">
            <w:pPr>
              <w:autoSpaceDE w:val="0"/>
              <w:autoSpaceDN w:val="0"/>
              <w:adjustRightInd w:val="0"/>
              <w:spacing w:after="0" w:line="240" w:lineRule="auto"/>
              <w:rPr>
                <w:rFonts w:ascii="Comic Sans MS" w:hAnsi="Comic Sans MS" w:cs="ArialNarrow"/>
                <w:sz w:val="16"/>
                <w:szCs w:val="16"/>
              </w:rPr>
            </w:pPr>
            <w:r w:rsidRPr="00065FF4">
              <w:rPr>
                <w:rFonts w:ascii="Comic Sans MS" w:hAnsi="Comic Sans MS" w:cs="Arial"/>
                <w:sz w:val="16"/>
                <w:szCs w:val="16"/>
              </w:rPr>
              <w:t xml:space="preserve">         - </w:t>
            </w:r>
            <w:r w:rsidRPr="00065FF4">
              <w:rPr>
                <w:rFonts w:ascii="Comic Sans MS" w:hAnsi="Comic Sans MS" w:cs="ArialNarrow"/>
                <w:sz w:val="16"/>
                <w:szCs w:val="16"/>
              </w:rPr>
              <w:t>conseils de classe</w:t>
            </w:r>
          </w:p>
          <w:p w:rsidR="000414DB" w:rsidRPr="00065FF4" w:rsidRDefault="000414DB" w:rsidP="00EF680E">
            <w:pPr>
              <w:spacing w:after="0" w:line="240" w:lineRule="auto"/>
              <w:rPr>
                <w:rFonts w:ascii="Comic Sans MS" w:hAnsi="Comic Sans MS"/>
                <w:sz w:val="16"/>
                <w:szCs w:val="16"/>
              </w:rPr>
            </w:pPr>
            <w:r w:rsidRPr="00065FF4">
              <w:rPr>
                <w:rFonts w:ascii="Comic Sans MS" w:hAnsi="Comic Sans MS" w:cs="Arial"/>
                <w:sz w:val="16"/>
                <w:szCs w:val="16"/>
              </w:rPr>
              <w:t xml:space="preserve">        - </w:t>
            </w:r>
            <w:r w:rsidRPr="00065FF4">
              <w:rPr>
                <w:rFonts w:ascii="Comic Sans MS" w:hAnsi="Comic Sans MS" w:cs="ArialNarrow"/>
                <w:sz w:val="16"/>
                <w:szCs w:val="16"/>
              </w:rPr>
              <w:t>réunions des d</w:t>
            </w:r>
            <w:r>
              <w:rPr>
                <w:rFonts w:ascii="Comic Sans MS" w:hAnsi="Comic Sans MS" w:cs="ArialNarrow"/>
                <w:sz w:val="16"/>
                <w:szCs w:val="16"/>
              </w:rPr>
              <w:t>élégués élèves, réunions du CVL</w:t>
            </w:r>
            <w:r w:rsidRPr="00065FF4">
              <w:rPr>
                <w:rFonts w:ascii="Comic Sans MS" w:hAnsi="Comic Sans MS" w:cs="ArialNarrow"/>
                <w:sz w:val="16"/>
                <w:szCs w:val="16"/>
              </w:rPr>
              <w:t>,</w:t>
            </w:r>
            <w:r>
              <w:rPr>
                <w:rFonts w:ascii="Comic Sans MS" w:hAnsi="Comic Sans MS" w:cs="ArialNarrow"/>
                <w:sz w:val="16"/>
                <w:szCs w:val="16"/>
              </w:rPr>
              <w:t xml:space="preserve"> </w:t>
            </w:r>
            <w:r w:rsidRPr="00065FF4">
              <w:rPr>
                <w:rFonts w:ascii="Comic Sans MS" w:hAnsi="Comic Sans MS" w:cs="ArialNarrow"/>
                <w:sz w:val="16"/>
                <w:szCs w:val="16"/>
              </w:rPr>
              <w:t>CVC</w:t>
            </w:r>
          </w:p>
        </w:tc>
      </w:tr>
    </w:tbl>
    <w:p w:rsidR="000414DB" w:rsidRPr="00065FF4" w:rsidRDefault="000414DB">
      <w:pPr>
        <w:rPr>
          <w:sz w:val="16"/>
          <w:szCs w:val="16"/>
        </w:rPr>
      </w:pPr>
    </w:p>
    <w:sectPr w:rsidR="000414DB" w:rsidRPr="00065FF4" w:rsidSect="007D2896">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4DB" w:rsidRDefault="000414DB" w:rsidP="007D2896">
      <w:pPr>
        <w:spacing w:after="0" w:line="240" w:lineRule="auto"/>
      </w:pPr>
      <w:r>
        <w:separator/>
      </w:r>
    </w:p>
  </w:endnote>
  <w:endnote w:type="continuationSeparator" w:id="0">
    <w:p w:rsidR="000414DB" w:rsidRDefault="000414DB" w:rsidP="007D28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Narro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4DB" w:rsidRDefault="000414DB" w:rsidP="007D2896">
      <w:pPr>
        <w:spacing w:after="0" w:line="240" w:lineRule="auto"/>
      </w:pPr>
      <w:r>
        <w:separator/>
      </w:r>
    </w:p>
  </w:footnote>
  <w:footnote w:type="continuationSeparator" w:id="0">
    <w:p w:rsidR="000414DB" w:rsidRDefault="000414DB" w:rsidP="007D28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4DB" w:rsidRPr="007D2896" w:rsidRDefault="000414DB" w:rsidP="007D2896">
    <w:pPr>
      <w:pStyle w:val="Header"/>
      <w:jc w:val="center"/>
      <w:rPr>
        <w:rFonts w:ascii="Times New Roman" w:hAnsi="Times New Roman"/>
        <w:b/>
        <w:sz w:val="44"/>
        <w:szCs w:val="44"/>
      </w:rPr>
    </w:pPr>
    <w:r w:rsidRPr="007D2896">
      <w:rPr>
        <w:rFonts w:ascii="Times New Roman" w:hAnsi="Times New Roman"/>
        <w:b/>
        <w:sz w:val="44"/>
        <w:szCs w:val="44"/>
      </w:rPr>
      <w:t>CPE CONSEILLER TECHNIQUE DU CHEF D’ETABLISSEMENT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2896"/>
    <w:rsid w:val="000414DB"/>
    <w:rsid w:val="00065FF4"/>
    <w:rsid w:val="00253FF9"/>
    <w:rsid w:val="007D2896"/>
    <w:rsid w:val="00B27E42"/>
    <w:rsid w:val="00DD31B2"/>
    <w:rsid w:val="00E85559"/>
    <w:rsid w:val="00EF680E"/>
    <w:rsid w:val="00FD3F3D"/>
    <w:rsid w:val="00FD79A6"/>
    <w:rsid w:val="00FF35B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89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D28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7D2896"/>
    <w:pPr>
      <w:widowControl w:val="0"/>
      <w:suppressAutoHyphens/>
      <w:autoSpaceDN w:val="0"/>
      <w:textAlignment w:val="baseline"/>
    </w:pPr>
    <w:rPr>
      <w:rFonts w:cs="Tahoma"/>
      <w:color w:val="000000"/>
      <w:kern w:val="3"/>
      <w:sz w:val="24"/>
      <w:szCs w:val="24"/>
      <w:lang w:val="en-US" w:eastAsia="en-US"/>
    </w:rPr>
  </w:style>
  <w:style w:type="character" w:styleId="Hyperlink">
    <w:name w:val="Hyperlink"/>
    <w:basedOn w:val="DefaultParagraphFont"/>
    <w:uiPriority w:val="99"/>
    <w:rsid w:val="007D2896"/>
    <w:rPr>
      <w:rFonts w:cs="Times New Roman"/>
      <w:color w:val="0000FF"/>
      <w:u w:val="single"/>
    </w:rPr>
  </w:style>
  <w:style w:type="character" w:styleId="Strong">
    <w:name w:val="Strong"/>
    <w:basedOn w:val="DefaultParagraphFont"/>
    <w:uiPriority w:val="99"/>
    <w:qFormat/>
    <w:rsid w:val="007D2896"/>
    <w:rPr>
      <w:rFonts w:cs="Times New Roman"/>
      <w:b/>
      <w:bCs/>
    </w:rPr>
  </w:style>
  <w:style w:type="paragraph" w:styleId="Header">
    <w:name w:val="header"/>
    <w:basedOn w:val="Normal"/>
    <w:link w:val="HeaderChar"/>
    <w:uiPriority w:val="99"/>
    <w:rsid w:val="007D289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D2896"/>
    <w:rPr>
      <w:rFonts w:cs="Times New Roman"/>
    </w:rPr>
  </w:style>
  <w:style w:type="paragraph" w:styleId="Footer">
    <w:name w:val="footer"/>
    <w:basedOn w:val="Normal"/>
    <w:link w:val="FooterChar"/>
    <w:uiPriority w:val="99"/>
    <w:rsid w:val="007D289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D289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rsee.fr/web/revues/home/prescript/article/agora_1268-5666_1996_num_6_1_1109" TargetMode="External"/><Relationship Id="rId3" Type="http://schemas.openxmlformats.org/officeDocument/2006/relationships/webSettings" Target="webSettings.xml"/><Relationship Id="rId7" Type="http://schemas.openxmlformats.org/officeDocument/2006/relationships/hyperlink" Target="http://www.education.gouv.fr/cid73215/le-referentiel-de-competences-des-enseignants-au-bo-du-25-juillet-201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e-scolaire.ac-amiens.fr/sites/vie-scolaire.ac-amiens.fr/IMG/pdf/CPEQUELQUES_REPERES_MEN_2000.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782</Words>
  <Characters>4306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Thèmes</dc:title>
  <dc:subject/>
  <dc:creator>vincent roy</dc:creator>
  <cp:keywords/>
  <dc:description/>
  <cp:lastModifiedBy>JANNIOT Baptiste</cp:lastModifiedBy>
  <cp:revision>3</cp:revision>
  <dcterms:created xsi:type="dcterms:W3CDTF">2016-03-13T09:45:00Z</dcterms:created>
  <dcterms:modified xsi:type="dcterms:W3CDTF">2016-03-13T09:47:00Z</dcterms:modified>
</cp:coreProperties>
</file>